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6C2E17" w:rsidRPr="005D776A" w:rsidRDefault="004D0498" w:rsidP="004D0498">
      <w:pPr>
        <w:jc w:val="right"/>
        <w:rPr>
          <w:rFonts w:ascii="Times New Roman" w:hAnsi="Times New Roman" w:cs="Times New Roman"/>
          <w:color w:val="000000"/>
        </w:rPr>
      </w:pPr>
      <w:r w:rsidRPr="005D776A">
        <w:rPr>
          <w:rFonts w:ascii="Times New Roman" w:hAnsi="Times New Roman" w:cs="Times New Roman"/>
          <w:color w:val="000000"/>
        </w:rPr>
        <w:t>Приложение 1 к ТЗ</w:t>
      </w:r>
    </w:p>
    <w:p w:rsidR="004D0498" w:rsidRPr="005D776A" w:rsidRDefault="004D0498" w:rsidP="004D0498">
      <w:pPr>
        <w:jc w:val="right"/>
        <w:rPr>
          <w:rFonts w:ascii="Times New Roman" w:hAnsi="Times New Roman" w:cs="Times New Roman"/>
          <w:color w:val="000000"/>
        </w:rPr>
      </w:pPr>
    </w:p>
    <w:p w:rsidR="004D0498" w:rsidRPr="005D776A" w:rsidRDefault="004D0498" w:rsidP="004D0498">
      <w:pPr>
        <w:jc w:val="center"/>
        <w:rPr>
          <w:rFonts w:ascii="Times New Roman" w:hAnsi="Times New Roman" w:cs="Times New Roman"/>
          <w:color w:val="000000"/>
        </w:rPr>
      </w:pPr>
      <w:r w:rsidRPr="005D776A">
        <w:rPr>
          <w:rFonts w:ascii="Times New Roman" w:hAnsi="Times New Roman" w:cs="Times New Roman"/>
          <w:color w:val="000000"/>
        </w:rPr>
        <w:t>Спецификация</w:t>
      </w:r>
    </w:p>
    <w:tbl>
      <w:tblPr>
        <w:tblW w:w="9843" w:type="dxa"/>
        <w:tblInd w:w="-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19"/>
        <w:gridCol w:w="7824"/>
      </w:tblGrid>
      <w:tr w:rsidR="004D0498" w:rsidTr="004D0498">
        <w:trPr>
          <w:trHeight w:val="1691"/>
        </w:trPr>
        <w:tc>
          <w:tcPr>
            <w:tcW w:w="2019" w:type="dxa"/>
          </w:tcPr>
          <w:p w:rsidR="004D0498" w:rsidRDefault="004D0498" w:rsidP="004D0498">
            <w:pPr>
              <w:pStyle w:val="Default"/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803"/>
            </w:tblGrid>
            <w:tr w:rsidR="004D0498">
              <w:trPr>
                <w:trHeight w:val="399"/>
              </w:trPr>
              <w:tc>
                <w:tcPr>
                  <w:tcW w:w="0" w:type="auto"/>
                </w:tcPr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i/>
                      <w:iCs/>
                      <w:sz w:val="22"/>
                      <w:szCs w:val="22"/>
                    </w:rPr>
                    <w:t xml:space="preserve">1. Краткие характеристики Товара*: </w:t>
                  </w:r>
                </w:p>
              </w:tc>
            </w:tr>
          </w:tbl>
          <w:p w:rsidR="004D0498" w:rsidRDefault="004D0498" w:rsidP="004D0498">
            <w:pPr>
              <w:jc w:val="center"/>
            </w:pPr>
          </w:p>
        </w:tc>
        <w:tc>
          <w:tcPr>
            <w:tcW w:w="7824" w:type="dxa"/>
          </w:tcPr>
          <w:p w:rsidR="004D0498" w:rsidRDefault="004D0498" w:rsidP="004D0498">
            <w:pPr>
              <w:pStyle w:val="Default"/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7608"/>
            </w:tblGrid>
            <w:tr w:rsidR="004D0498">
              <w:trPr>
                <w:trHeight w:val="2927"/>
              </w:trPr>
              <w:tc>
                <w:tcPr>
                  <w:tcW w:w="0" w:type="auto"/>
                </w:tcPr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Многофункциональная беседка предназначена для обеспечения досуговой работы учреждения в круглогодичном режиме.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Конструкция предоставляется с монтажом.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Основными критериями при этом являются: соблюдение архитектурно-строительных, санитарно-гигиенических, эпидемиологических и экологических норм, оснащение современным оборудованием и автоматикой, соответствие климатическим особенностям города Москвы, надежность и долговечность конструкций и технических устройств, безопасность и комфорт пользователей, включая маломобильные группы населения, соответствие требованиям электро- и пожарной безопасности, антивандальное исполнение конструкций, соответствие другим обязательным нормативам и правилам.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Все применяемые при проведении работ материалы должны иметь сертификаты, соответствовать ГОСТам и быть пригодными для использования при проведении наружных работ.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Проектируемые внешние габаритные размеры объекта: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Длина: 6.00 м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Ширина: 6.00 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Высота: 4.07 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Площадь: 36 м</w:t>
                  </w:r>
                  <w:r>
                    <w:rPr>
                      <w:position w:val="8"/>
                      <w:sz w:val="14"/>
                      <w:szCs w:val="14"/>
                      <w:vertAlign w:val="superscript"/>
                    </w:rPr>
                    <w:t>2</w:t>
                  </w:r>
                  <w:r>
                    <w:rPr>
                      <w:sz w:val="22"/>
                      <w:szCs w:val="22"/>
                    </w:rPr>
                    <w:t xml:space="preserve">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Комплектация оборудованием (обязательный комплект).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Павильон оснащается: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- системой электрического отопления с применением конвекторов;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- системами внутреннего освещения и электроснабжения. </w:t>
                  </w:r>
                </w:p>
              </w:tc>
            </w:tr>
          </w:tbl>
          <w:p w:rsidR="004D0498" w:rsidRDefault="004D0498" w:rsidP="004D0498">
            <w:pPr>
              <w:jc w:val="center"/>
            </w:pPr>
          </w:p>
        </w:tc>
      </w:tr>
      <w:tr w:rsidR="004D0498" w:rsidTr="004D0498">
        <w:trPr>
          <w:trHeight w:val="1691"/>
        </w:trPr>
        <w:tc>
          <w:tcPr>
            <w:tcW w:w="2019" w:type="dxa"/>
          </w:tcPr>
          <w:p w:rsidR="004D0498" w:rsidRDefault="004D0498" w:rsidP="004D0498">
            <w:pPr>
              <w:pStyle w:val="Default"/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1803"/>
            </w:tblGrid>
            <w:tr w:rsidR="004D0498">
              <w:trPr>
                <w:trHeight w:val="525"/>
              </w:trPr>
              <w:tc>
                <w:tcPr>
                  <w:tcW w:w="0" w:type="auto"/>
                </w:tcPr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i/>
                      <w:iCs/>
                      <w:sz w:val="22"/>
                      <w:szCs w:val="22"/>
                    </w:rPr>
                    <w:t xml:space="preserve">2. Внешний вид (визуализация) и внутренняя планировка: </w:t>
                  </w:r>
                </w:p>
              </w:tc>
            </w:tr>
          </w:tbl>
          <w:p w:rsidR="004D0498" w:rsidRDefault="004D0498" w:rsidP="004D0498">
            <w:pPr>
              <w:jc w:val="center"/>
            </w:pPr>
          </w:p>
        </w:tc>
        <w:tc>
          <w:tcPr>
            <w:tcW w:w="7824" w:type="dxa"/>
          </w:tcPr>
          <w:p w:rsidR="004D0498" w:rsidRDefault="004D0498" w:rsidP="004D0498">
            <w:pPr>
              <w:jc w:val="center"/>
            </w:pPr>
          </w:p>
          <w:p w:rsidR="004D0498" w:rsidRDefault="004D0498" w:rsidP="004D0498">
            <w:pPr>
              <w:pStyle w:val="Default"/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6609"/>
            </w:tblGrid>
            <w:tr w:rsidR="004D0498">
              <w:trPr>
                <w:trHeight w:val="145"/>
              </w:trPr>
              <w:tc>
                <w:tcPr>
                  <w:tcW w:w="0" w:type="auto"/>
                </w:tcPr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Примерная визуализация павильона представлена на рисунке ниже: </w:t>
                  </w:r>
                </w:p>
              </w:tc>
            </w:tr>
          </w:tbl>
          <w:p w:rsidR="004D0498" w:rsidRDefault="004D0498" w:rsidP="004D0498"/>
          <w:p w:rsidR="004D0498" w:rsidRDefault="004D0498" w:rsidP="004D0498">
            <w:pPr>
              <w:jc w:val="center"/>
            </w:pPr>
            <w:r w:rsidRPr="004D0498">
              <w:rPr>
                <w:noProof/>
                <w:lang w:eastAsia="ru-RU"/>
              </w:rPr>
              <w:drawing>
                <wp:inline distT="0" distB="0" distL="0" distR="0">
                  <wp:extent cx="3949793" cy="2895021"/>
                  <wp:effectExtent l="0" t="0" r="0" b="63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4427" cy="2898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0498" w:rsidTr="004D0498">
        <w:trPr>
          <w:trHeight w:val="1691"/>
        </w:trPr>
        <w:tc>
          <w:tcPr>
            <w:tcW w:w="2019" w:type="dxa"/>
          </w:tcPr>
          <w:p w:rsidR="004D0498" w:rsidRDefault="004D0498" w:rsidP="004D0498">
            <w:pPr>
              <w:jc w:val="center"/>
            </w:pPr>
          </w:p>
        </w:tc>
        <w:tc>
          <w:tcPr>
            <w:tcW w:w="7824" w:type="dxa"/>
          </w:tcPr>
          <w:p w:rsidR="004D0498" w:rsidRDefault="004D0498" w:rsidP="004D0498">
            <w:pPr>
              <w:pStyle w:val="Default"/>
            </w:pP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7608"/>
            </w:tblGrid>
            <w:tr w:rsidR="004D0498">
              <w:trPr>
                <w:trHeight w:val="903"/>
              </w:trPr>
              <w:tc>
                <w:tcPr>
                  <w:tcW w:w="0" w:type="auto"/>
                </w:tcPr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Сооружение представляет собой пространственную куполообразную структуру геодезической разбивки на квадратном плане, при этом сама поверхность купола образована на базе сегмента сферы, усеченного с четырех сторон. Для обеспечения комфортной высоты центральная часть шатра приподнята относительно его теоретического очертания на основе сферы. Размеры сооружения в плане— 6000×6000 мм, высота— 4068 мм. Каркас шатра собирается из отдельных стержней и коннекторов заводского </w:t>
                  </w:r>
                </w:p>
              </w:tc>
            </w:tr>
          </w:tbl>
          <w:p w:rsidR="004D0498" w:rsidRDefault="004D0498" w:rsidP="004D0498">
            <w:pPr>
              <w:pStyle w:val="Default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изготовления. </w:t>
            </w:r>
          </w:p>
          <w:p w:rsidR="004D0498" w:rsidRDefault="004D0498" w:rsidP="005D776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Стержни представляют собой деревянные клееные балки хвойных пород сечением 80×180 мм различного типоразмера длиной от 1.37 до 2.32 м. По торцам балок расположены вклеенные резьбовые втулки для присоединения к коннекторам, по узким сторонам балок имеются прорези для скрытого монтажа проводки и/или светодиодного освещения. </w:t>
            </w:r>
          </w:p>
          <w:p w:rsidR="004D0498" w:rsidRPr="005D776A" w:rsidRDefault="004D0498" w:rsidP="005D776A">
            <w:pPr>
              <w:rPr>
                <w:rFonts w:ascii="Times New Roman" w:hAnsi="Times New Roman" w:cs="Times New Roman"/>
                <w:color w:val="000000"/>
              </w:rPr>
            </w:pPr>
            <w:r w:rsidRPr="005D776A">
              <w:rPr>
                <w:rFonts w:ascii="Times New Roman" w:hAnsi="Times New Roman" w:cs="Times New Roman"/>
                <w:color w:val="000000"/>
              </w:rPr>
              <w:t xml:space="preserve">Коннекторы представляют собой стальные изделия сложной формы пирамидального очертания, к сторонам которых примыкают торцы балок и крепятся к ним болтами, завинчиваемыми во вклеенные в балки резьбовые втулки. В центральной части коннектора предусмотрено место для размещения светодиодного светильника. Внешний вид коннектора отдельно и в сборе приведены на рисунке: </w:t>
            </w:r>
          </w:p>
          <w:p w:rsidR="004D0498" w:rsidRDefault="004D0498" w:rsidP="004D0498">
            <w:r w:rsidRPr="004D0498">
              <w:rPr>
                <w:noProof/>
                <w:lang w:eastAsia="ru-RU"/>
              </w:rPr>
              <w:drawing>
                <wp:inline distT="0" distB="0" distL="0" distR="0">
                  <wp:extent cx="3152775" cy="345313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345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D0498" w:rsidRDefault="004D0498" w:rsidP="004D0498">
            <w:r w:rsidRPr="004D0498"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852686" cy="2759548"/>
                  <wp:effectExtent l="0" t="0" r="5080" b="317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102" cy="2774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D0498" w:rsidRDefault="004D0498" w:rsidP="004D04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В четырех углах купол шатра имеет стальные опоры, посредством которых шатер устанавливается на фундаменты, либо на любое ровное подготовленное основание по согласованию с заказчиком. Купол может быть установлен на имеющееся основание, если оно соответствует необходимой несущей способности. </w:t>
            </w:r>
          </w:p>
          <w:p w:rsidR="004D0498" w:rsidRDefault="004D0498" w:rsidP="005D776A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Фундамент под несущие конструкции выполняется блочным из блоков заводского изготовления серии ФБС 9-6-6 или большего размера</w:t>
            </w:r>
            <w:r w:rsidR="005D776A">
              <w:rPr>
                <w:sz w:val="22"/>
                <w:szCs w:val="22"/>
              </w:rPr>
              <w:t xml:space="preserve"> или</w:t>
            </w:r>
            <w:r>
              <w:rPr>
                <w:sz w:val="22"/>
                <w:szCs w:val="22"/>
              </w:rPr>
              <w:t xml:space="preserve"> выполняется на винтовых сваях серии СВ типоразмером не менее СВ-89/250/1500</w:t>
            </w:r>
            <w:r w:rsidR="005D776A">
              <w:rPr>
                <w:sz w:val="22"/>
                <w:szCs w:val="22"/>
              </w:rPr>
              <w:t xml:space="preserve"> (по согласованию с Заказчиком)</w:t>
            </w:r>
            <w:r>
              <w:rPr>
                <w:sz w:val="22"/>
                <w:szCs w:val="22"/>
              </w:rPr>
              <w:t xml:space="preserve">. </w:t>
            </w:r>
          </w:p>
          <w:p w:rsidR="004D0498" w:rsidRDefault="004D0498" w:rsidP="004D04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Пример выполнения фундамента приведен в приложении 1. </w:t>
            </w:r>
          </w:p>
          <w:p w:rsidR="004D0498" w:rsidRPr="005D776A" w:rsidRDefault="004D0498" w:rsidP="005D776A">
            <w:pPr>
              <w:pStyle w:val="Default"/>
              <w:rPr>
                <w:sz w:val="22"/>
                <w:szCs w:val="22"/>
              </w:rPr>
            </w:pPr>
            <w:r w:rsidRPr="005D776A">
              <w:rPr>
                <w:sz w:val="22"/>
                <w:szCs w:val="22"/>
              </w:rPr>
              <w:t xml:space="preserve">По периметру шатра между опорами устанавливаются скрытые в полу связевые балки, необходимые для восприятия распора от купола. Внешний вид опоры приведен на рисунке: </w:t>
            </w:r>
          </w:p>
          <w:p w:rsidR="004D0498" w:rsidRDefault="004D0498" w:rsidP="004D0498">
            <w:r w:rsidRPr="004D0498">
              <w:rPr>
                <w:noProof/>
                <w:lang w:eastAsia="ru-RU"/>
              </w:rPr>
              <w:drawing>
                <wp:inline distT="0" distB="0" distL="0" distR="0">
                  <wp:extent cx="2907285" cy="2637170"/>
                  <wp:effectExtent l="0" t="0" r="762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101" cy="264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D0498" w:rsidRDefault="004D0498" w:rsidP="004D0498">
            <w:pPr>
              <w:pStyle w:val="Defaul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Кровельное покрытие шатра — мягкой черепицей KatepalAmbient (или 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7608"/>
            </w:tblGrid>
            <w:tr w:rsidR="004D0498">
              <w:trPr>
                <w:trHeight w:val="6595"/>
              </w:trPr>
              <w:tc>
                <w:tcPr>
                  <w:tcW w:w="0" w:type="auto"/>
                </w:tcPr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lastRenderedPageBreak/>
                    <w:t xml:space="preserve">эквивалент), укладываемой поверх ОСБ-плит толщиной 18 мм, монтируемых в свою очередь на деревянный каркас. С нижней стороны каркас купола подшивается декоративными панелями из ЛДСПП Эггер (или эквивалент) толщиной 12 мм, цвет—по согласованию с заказчиком. Между слоями покрытия и декоративной подшивки располагается слой утеплителя из плит экструзионного пенополистирола Пеноплэкс (или эквивалент) толщиной не менее 50 мм.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Боковые стены шатра имеют сплошное остекление однокамерными стеклопакетами, установленными в переплеты на основе профиля KBE 58–70 мм (или эквивалент) с ламинацией под дерево с обеих сторон и с торцов профиля, что позволяет обеспечить комфортные условия микроклимата внутри шатра при сохранении гармоничного внешнего вида в сочетании с несущими конструкциями из натуральной древесины. Пример решения фасадного остекления приведен в приложении 1.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Несущая способность конструкций покрытия шатра — не менее 70 кг/м</w:t>
                  </w:r>
                  <w:r>
                    <w:rPr>
                      <w:position w:val="8"/>
                      <w:sz w:val="14"/>
                      <w:szCs w:val="14"/>
                      <w:vertAlign w:val="superscript"/>
                    </w:rPr>
                    <w:t xml:space="preserve">2 </w:t>
                  </w:r>
                  <w:r>
                    <w:rPr>
                      <w:sz w:val="22"/>
                      <w:szCs w:val="22"/>
                    </w:rPr>
                    <w:t xml:space="preserve">равномерно распределенной нагрузки. Необходимо предусмотреть возможность доступа к кровле для очистки от снега при помощи лестниц или стремянок (не поставляются в комплекте).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Половое покрытие шатра предусмотрено в виде шпунтованной террасной доски из лиственницы класса Экстра, обработанной огне- и биозащитой и лакированной яхтным лаком, шириной 136–150 мм и толщиной 22–40 мм по согласованию с заказчиком.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Установка лаг может осуществляться на сетку опор в виде винтовых свай, пример приведен в приложении 1.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Утепление пола —с помощью слоя минеральной ваты толщиной не менее 50 мм с обязательным устройством паро- и гидроизоляции.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Система освещения шатра предусматривает размещение светодиодных светильников мощностью 6 Вт и цветовой температурой 3000–4000 K в коннекторах, а также светодиодных лент степенью влагозащиты не менее IP55 по всем балкам внутри (скрытый монтаж проводки) мощностью от 4 до 9.6 Вт./м. пог., 24 В, с блоками питания в утопленном в торцах балок анодированном профиле с прозрачной крышкой. Количество светильников — не менее 9 шт. Включение и отключение осветительных приборов производится с помощью выключателей уличных влаго- и пылезащищенных ЭРА Эксперт 11160103 IP65, 10АХ250В, ОУ, серый Б0035972, или эквивалент.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Шатер оснащается двойными электрическими розетками уличными пыле- и влагозащищенными с крышкой марки ЭРА 11260303 2x2PE, IP65, 16 А, 250 В, ОУ, серый Б0035991 или эквивалент. Количество розеток — не менее 8 шт, высота расположения от уровня пола — не менее 300 мм. Максимальная нагрузка на каждую из розеток — не менее 2.5 кВт.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Предусмотрена система отопления шатра электрическими конвекторами мощностью не менее 1.5 кВт, управляемыми термостатами. Количество конвекторов— не менее 4 шт.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Электропроводка для розеток и выключателей прокладывается по периметру шатра и выполняется кабелем ВВГнг-LS сечением не менее 3×2.5 ммLS сечением не менее 3×1.5 мм</w:t>
                  </w:r>
                  <w:r>
                    <w:rPr>
                      <w:position w:val="8"/>
                      <w:sz w:val="14"/>
                      <w:szCs w:val="14"/>
                      <w:vertAlign w:val="superscript"/>
                    </w:rPr>
                    <w:t xml:space="preserve">2 </w:t>
                  </w:r>
                  <w:r>
                    <w:rPr>
                      <w:sz w:val="22"/>
                      <w:szCs w:val="22"/>
                    </w:rPr>
                    <w:t>в гофре диаметром не менее 20 мм для розеточных групп и кабелем ВВГнг-</w:t>
                  </w:r>
                  <w:r>
                    <w:rPr>
                      <w:position w:val="8"/>
                      <w:sz w:val="14"/>
                      <w:szCs w:val="14"/>
                      <w:vertAlign w:val="superscript"/>
                    </w:rPr>
                    <w:t xml:space="preserve">2 </w:t>
                  </w:r>
                  <w:r>
                    <w:rPr>
                      <w:sz w:val="22"/>
                      <w:szCs w:val="22"/>
                    </w:rPr>
                    <w:t xml:space="preserve">в гофре диаметром не менее 16 мм для осветительных групп.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Предусмотрена установка распределительного электрического щитка с автоматами номиналами не более 10 А на осветительные и не более 16 А на розеточные линии. Подвод кабеля к щитку осуществляется Заказчиком.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Конструкции входных групп шатра предусматривают доступность маломобильным группам населения. 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  <w:r>
                    <w:rPr>
                      <w:i/>
                      <w:iCs/>
                      <w:sz w:val="22"/>
                      <w:szCs w:val="22"/>
                    </w:rPr>
                    <w:t>*В случае указания Заказчиком товарных знаков материалов и оборудования, Заказчиком подразумевается поставка эквивалентов данных позиций.</w:t>
                  </w:r>
                </w:p>
                <w:p w:rsidR="004D0498" w:rsidRDefault="004D0498" w:rsidP="004D0498">
                  <w:pPr>
                    <w:pStyle w:val="Default"/>
                    <w:rPr>
                      <w:sz w:val="22"/>
                      <w:szCs w:val="22"/>
                    </w:rPr>
                  </w:pPr>
                </w:p>
              </w:tc>
            </w:tr>
          </w:tbl>
          <w:p w:rsidR="004D0498" w:rsidRDefault="004D0498" w:rsidP="004D0498"/>
        </w:tc>
      </w:tr>
    </w:tbl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before="50" w:after="0" w:line="240" w:lineRule="auto"/>
        <w:ind w:left="3980" w:right="3051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D0498">
        <w:rPr>
          <w:rFonts w:ascii="Times New Roman" w:hAnsi="Times New Roman" w:cs="Times New Roman"/>
          <w:b/>
          <w:bCs/>
          <w:sz w:val="24"/>
          <w:szCs w:val="24"/>
        </w:rPr>
        <w:t>Приложение1</w:t>
      </w: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before="6" w:after="0" w:line="240" w:lineRule="auto"/>
        <w:rPr>
          <w:rFonts w:ascii="Times New Roman" w:hAnsi="Times New Roman" w:cs="Times New Roman"/>
          <w:b/>
          <w:bCs/>
          <w:sz w:val="13"/>
          <w:szCs w:val="13"/>
        </w:rPr>
      </w:pP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255"/>
        <w:rPr>
          <w:rFonts w:ascii="Times New Roman" w:hAnsi="Times New Roman" w:cs="Times New Roman"/>
          <w:sz w:val="20"/>
          <w:szCs w:val="20"/>
        </w:rPr>
      </w:pPr>
      <w:r w:rsidRPr="004D049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4285615" cy="4258310"/>
            <wp:effectExtent l="0" t="0" r="635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615" cy="425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before="106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  <w:r w:rsidRPr="004D0498">
        <w:rPr>
          <w:rFonts w:ascii="Times New Roman" w:hAnsi="Times New Roman" w:cs="Times New Roman"/>
          <w:sz w:val="24"/>
          <w:szCs w:val="24"/>
        </w:rPr>
        <w:t>Рис. 1. План-схемаконструкцийшатра.</w:t>
      </w: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258"/>
        <w:rPr>
          <w:rFonts w:ascii="Times New Roman" w:hAnsi="Times New Roman" w:cs="Times New Roman"/>
          <w:sz w:val="20"/>
          <w:szCs w:val="20"/>
        </w:rPr>
      </w:pPr>
      <w:r w:rsidRPr="004D049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4285615" cy="292036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5615" cy="292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before="81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  <w:r w:rsidRPr="004D0498">
        <w:rPr>
          <w:rFonts w:ascii="Times New Roman" w:hAnsi="Times New Roman" w:cs="Times New Roman"/>
          <w:sz w:val="24"/>
          <w:szCs w:val="24"/>
        </w:rPr>
        <w:t>Рис. 2. Фасад шатра.</w:t>
      </w:r>
    </w:p>
    <w:p w:rsidR="004D0498" w:rsidRDefault="004D0498" w:rsidP="004D0498">
      <w:pPr>
        <w:jc w:val="center"/>
      </w:pPr>
    </w:p>
    <w:p w:rsidR="004D0498" w:rsidRDefault="004D0498" w:rsidP="004D0498">
      <w:pPr>
        <w:jc w:val="center"/>
      </w:pPr>
    </w:p>
    <w:p w:rsidR="004D0498" w:rsidRDefault="004D0498" w:rsidP="004D0498">
      <w:pPr>
        <w:jc w:val="center"/>
      </w:pPr>
    </w:p>
    <w:p w:rsidR="004D0498" w:rsidRDefault="004D0498" w:rsidP="004D0498">
      <w:pPr>
        <w:jc w:val="center"/>
      </w:pPr>
    </w:p>
    <w:p w:rsidR="004D0498" w:rsidRDefault="004D0498" w:rsidP="004D0498">
      <w:pPr>
        <w:jc w:val="center"/>
      </w:pP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511"/>
        <w:rPr>
          <w:rFonts w:ascii="Times New Roman" w:hAnsi="Times New Roman" w:cs="Times New Roman"/>
          <w:sz w:val="20"/>
          <w:szCs w:val="20"/>
        </w:rPr>
      </w:pPr>
      <w:r w:rsidRPr="004D0498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404485" cy="5650230"/>
            <wp:effectExtent l="0" t="0" r="5715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4485" cy="565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0498" w:rsidRPr="004D0498" w:rsidRDefault="004D0498" w:rsidP="004D0498">
      <w:pPr>
        <w:kinsoku w:val="0"/>
        <w:overflowPunct w:val="0"/>
        <w:autoSpaceDE w:val="0"/>
        <w:autoSpaceDN w:val="0"/>
        <w:adjustRightInd w:val="0"/>
        <w:spacing w:before="10" w:after="0" w:line="240" w:lineRule="auto"/>
        <w:rPr>
          <w:rFonts w:ascii="Times New Roman" w:hAnsi="Times New Roman" w:cs="Times New Roman"/>
          <w:sz w:val="26"/>
          <w:szCs w:val="26"/>
        </w:rPr>
      </w:pPr>
    </w:p>
    <w:p w:rsidR="004D0498" w:rsidRDefault="004D0498" w:rsidP="004D0498">
      <w:pPr>
        <w:kinsoku w:val="0"/>
        <w:overflowPunct w:val="0"/>
        <w:autoSpaceDE w:val="0"/>
        <w:autoSpaceDN w:val="0"/>
        <w:adjustRightInd w:val="0"/>
        <w:spacing w:before="50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  <w:r w:rsidRPr="004D0498">
        <w:rPr>
          <w:rFonts w:ascii="Times New Roman" w:hAnsi="Times New Roman" w:cs="Times New Roman"/>
          <w:sz w:val="24"/>
          <w:szCs w:val="24"/>
        </w:rPr>
        <w:t>Рис. 3. Схемаустройствафундамента(образец).</w:t>
      </w:r>
    </w:p>
    <w:p w:rsidR="005D776A" w:rsidRDefault="005D776A" w:rsidP="004D0498">
      <w:pPr>
        <w:kinsoku w:val="0"/>
        <w:overflowPunct w:val="0"/>
        <w:autoSpaceDE w:val="0"/>
        <w:autoSpaceDN w:val="0"/>
        <w:adjustRightInd w:val="0"/>
        <w:spacing w:before="50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</w:p>
    <w:p w:rsidR="005D776A" w:rsidRDefault="005D776A" w:rsidP="004D0498">
      <w:pPr>
        <w:kinsoku w:val="0"/>
        <w:overflowPunct w:val="0"/>
        <w:autoSpaceDE w:val="0"/>
        <w:autoSpaceDN w:val="0"/>
        <w:adjustRightInd w:val="0"/>
        <w:spacing w:before="50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</w:p>
    <w:p w:rsidR="005D776A" w:rsidRDefault="005D776A" w:rsidP="004D0498">
      <w:pPr>
        <w:kinsoku w:val="0"/>
        <w:overflowPunct w:val="0"/>
        <w:autoSpaceDE w:val="0"/>
        <w:autoSpaceDN w:val="0"/>
        <w:adjustRightInd w:val="0"/>
        <w:spacing w:before="50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312"/>
        <w:rPr>
          <w:rFonts w:ascii="Times New Roman" w:hAnsi="Times New Roman" w:cs="Times New Roman"/>
          <w:sz w:val="20"/>
          <w:szCs w:val="20"/>
        </w:rPr>
      </w:pPr>
      <w:r w:rsidRPr="005D776A">
        <w:rPr>
          <w:rFonts w:ascii="Times New Roman" w:hAnsi="Times New Roman" w:cs="Times New Roman"/>
          <w:noProof/>
          <w:sz w:val="20"/>
          <w:szCs w:val="20"/>
          <w:lang w:eastAsia="ru-RU"/>
        </w:rPr>
        <w:lastRenderedPageBreak/>
        <w:drawing>
          <wp:inline distT="0" distB="0" distL="0" distR="0">
            <wp:extent cx="5608955" cy="45720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before="131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  <w:r w:rsidRPr="005D776A">
        <w:rPr>
          <w:rFonts w:ascii="Times New Roman" w:hAnsi="Times New Roman" w:cs="Times New Roman"/>
          <w:sz w:val="24"/>
          <w:szCs w:val="24"/>
        </w:rPr>
        <w:t>Рис. 4. Схемаустройствакаркасаполапо свайномуполю (образец).</w:t>
      </w: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409"/>
        <w:rPr>
          <w:rFonts w:ascii="Times New Roman" w:hAnsi="Times New Roman" w:cs="Times New Roman"/>
          <w:sz w:val="20"/>
          <w:szCs w:val="20"/>
        </w:rPr>
      </w:pPr>
      <w:r w:rsidRPr="005D776A">
        <w:rPr>
          <w:rFonts w:ascii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5118100" cy="3480435"/>
            <wp:effectExtent l="0" t="0" r="6350" b="571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8100" cy="3480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before="9" w:after="0" w:line="240" w:lineRule="auto"/>
        <w:rPr>
          <w:rFonts w:ascii="Times New Roman" w:hAnsi="Times New Roman" w:cs="Times New Roman"/>
          <w:sz w:val="30"/>
          <w:szCs w:val="30"/>
        </w:rPr>
      </w:pPr>
    </w:p>
    <w:p w:rsidR="005D776A" w:rsidRPr="005D776A" w:rsidRDefault="005D776A" w:rsidP="005D776A">
      <w:pPr>
        <w:kinsoku w:val="0"/>
        <w:overflowPunct w:val="0"/>
        <w:autoSpaceDE w:val="0"/>
        <w:autoSpaceDN w:val="0"/>
        <w:adjustRightInd w:val="0"/>
        <w:spacing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  <w:r w:rsidRPr="005D776A">
        <w:rPr>
          <w:rFonts w:ascii="Times New Roman" w:hAnsi="Times New Roman" w:cs="Times New Roman"/>
          <w:sz w:val="24"/>
          <w:szCs w:val="24"/>
        </w:rPr>
        <w:t>Рис. 5. Пример решения фасадасостеклением.</w:t>
      </w:r>
    </w:p>
    <w:p w:rsidR="005D776A" w:rsidRPr="004D0498" w:rsidRDefault="005D776A" w:rsidP="004D0498">
      <w:pPr>
        <w:kinsoku w:val="0"/>
        <w:overflowPunct w:val="0"/>
        <w:autoSpaceDE w:val="0"/>
        <w:autoSpaceDN w:val="0"/>
        <w:adjustRightInd w:val="0"/>
        <w:spacing w:before="50" w:after="0" w:line="240" w:lineRule="auto"/>
        <w:ind w:left="101"/>
        <w:rPr>
          <w:rFonts w:ascii="Times New Roman" w:hAnsi="Times New Roman" w:cs="Times New Roman"/>
          <w:sz w:val="24"/>
          <w:szCs w:val="24"/>
        </w:rPr>
      </w:pPr>
    </w:p>
    <w:p w:rsidR="004D0498" w:rsidRDefault="004D0498" w:rsidP="004D0498">
      <w:pPr>
        <w:jc w:val="center"/>
      </w:pPr>
    </w:p>
    <w:sectPr w:rsidR="004D0498" w:rsidSect="00D61ED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4C2F"/>
    <w:rsid w:val="004D0498"/>
    <w:rsid w:val="005D776A"/>
    <w:rsid w:val="006C2E17"/>
    <w:rsid w:val="00904C2F"/>
    <w:rsid w:val="00D61EDA"/>
    <w:rsid w:val="00DC2B3D"/>
    <w:rsid w:val="00DE38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CA1FF72-DE85-1742-8D1C-4C7A6551E3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61E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4D04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04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0498"/>
    <w:rPr>
      <w:rFonts w:ascii="Times New Roman" w:hAnsi="Times New Roman" w:cs="Times New Roman"/>
      <w:sz w:val="24"/>
      <w:szCs w:val="24"/>
    </w:rPr>
  </w:style>
  <w:style w:type="paragraph" w:styleId="a5">
    <w:name w:val="Title"/>
    <w:basedOn w:val="a"/>
    <w:next w:val="a"/>
    <w:link w:val="a6"/>
    <w:uiPriority w:val="1"/>
    <w:qFormat/>
    <w:rsid w:val="004D0498"/>
    <w:pPr>
      <w:autoSpaceDE w:val="0"/>
      <w:autoSpaceDN w:val="0"/>
      <w:adjustRightInd w:val="0"/>
      <w:spacing w:before="50" w:after="0" w:line="240" w:lineRule="auto"/>
      <w:ind w:left="3980" w:right="3051"/>
      <w:jc w:val="center"/>
    </w:pPr>
    <w:rPr>
      <w:rFonts w:ascii="Times New Roman" w:hAnsi="Times New Roman" w:cs="Times New Roman"/>
      <w:b/>
      <w:bCs/>
      <w:sz w:val="24"/>
      <w:szCs w:val="24"/>
    </w:rPr>
  </w:style>
  <w:style w:type="character" w:customStyle="1" w:styleId="a6">
    <w:name w:val="Заголовок Знак"/>
    <w:basedOn w:val="a0"/>
    <w:link w:val="a5"/>
    <w:uiPriority w:val="1"/>
    <w:rsid w:val="004D0498"/>
    <w:rPr>
      <w:rFonts w:ascii="Times New Roman" w:hAnsi="Times New Roman" w:cs="Times New Roman"/>
      <w:b/>
      <w:bCs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DE38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E38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fontTable" Target="fontTable.xml" /><Relationship Id="rId3" Type="http://schemas.openxmlformats.org/officeDocument/2006/relationships/webSettings" Target="webSettings.xml" /><Relationship Id="rId7" Type="http://schemas.openxmlformats.org/officeDocument/2006/relationships/image" Target="media/image4.emf" /><Relationship Id="rId12" Type="http://schemas.openxmlformats.org/officeDocument/2006/relationships/image" Target="media/image9.png" /><Relationship Id="rId2" Type="http://schemas.openxmlformats.org/officeDocument/2006/relationships/settings" Target="settings.xml" /><Relationship Id="rId1" Type="http://schemas.openxmlformats.org/officeDocument/2006/relationships/styles" Target="styles.xml" /><Relationship Id="rId6" Type="http://schemas.openxmlformats.org/officeDocument/2006/relationships/image" Target="media/image3.emf" /><Relationship Id="rId11" Type="http://schemas.openxmlformats.org/officeDocument/2006/relationships/image" Target="media/image8.png" /><Relationship Id="rId5" Type="http://schemas.openxmlformats.org/officeDocument/2006/relationships/image" Target="media/image2.emf" /><Relationship Id="rId10" Type="http://schemas.openxmlformats.org/officeDocument/2006/relationships/image" Target="media/image7.png" /><Relationship Id="rId4" Type="http://schemas.openxmlformats.org/officeDocument/2006/relationships/image" Target="media/image1.emf" /><Relationship Id="rId9" Type="http://schemas.openxmlformats.org/officeDocument/2006/relationships/image" Target="media/image6.png" /><Relationship Id="rId14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1051</Words>
  <Characters>5993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Dmitry Vasilenkov</cp:lastModifiedBy>
  <cp:revision>2</cp:revision>
  <dcterms:created xsi:type="dcterms:W3CDTF">2021-10-07T06:58:00Z</dcterms:created>
  <dcterms:modified xsi:type="dcterms:W3CDTF">2021-10-07T06:58:00Z</dcterms:modified>
</cp:coreProperties>
</file>